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205</w:t>
      </w:r>
    </w:p>
    <w:p>
      <w:r>
        <w:t>Bundesgericht (BGE), 1998-05-12, DE</w:t>
      </w:r>
    </w:p>
    <w:p>
      <w:r>
        <w:rPr>
          <w:b/>
        </w:rPr>
        <w:t xml:space="preserve">Quelle: </w:t>
      </w:r>
      <w:r>
        <w:t>https://mcp.opencaselaw.ch/entscheid/bge_124 III 205</w:t>
      </w:r>
    </w:p>
    <w:p>
      <w:r>
        <w:t>FR: ATF 124 III 205</w:t>
      </w:r>
    </w:p>
    <w:p>
      <w:r>
        <w:t>IT: DTF 124 III 205</w:t>
      </w:r>
    </w:p>
    <w:p>
      <w:pPr>
        <w:pStyle w:val="Heading2"/>
      </w:pPr>
      <w:r>
        <w:t>Regeste</w:t>
      </w:r>
    </w:p>
    <w:p>
      <w:r>
        <w:t>Regeste Amtssprache im Beschwerdeverfahren gemäss Art. 17 ff. SchKG. Beschwerdeschrift und Urteil im Verfahren vor der Schuldbetreibungs- und Konkurskammer des Bundesgerichts (E. 2). Rüge der Verletzung völkerrechtlicher Verträge vor der Schuldbetreibungs- und Konkurskammer des Bundesgerichts (E. 3). Keine Verletzung des Paktes über die bürgerlichen und politischen Rechte durch die Aufsichtsbehörde über Schuldbetreibung und Konkurs des Kantons Solothurn, welche sich geweigert hat, eine in französischer Sprache verfasste Beschwerde entgegenzunehmen (E. 4).</w:t>
      </w:r>
    </w:p>
    <w:p>
      <w:pPr>
        <w:pStyle w:val="Heading2"/>
      </w:pPr>
      <w:r>
        <w:t>Erwägungen</w:t>
      </w:r>
    </w:p>
    <w:p>
      <w:r>
        <w:rPr>
          <w:b/>
        </w:rPr>
        <w:t>E. 2</w:t>
      </w:r>
    </w:p>
    <w:p>
      <w:r>
        <w:t>Der Beschwerdeführer kann seine Rechtsschrift dem Bundesgericht in französischer Sprache einreichen ( Art. 116 Abs. 4 BV ; Art. 30 Abs. 1 OG ). Indessen besteht im vorliegenden Fall kein Anlass, vom Grundsatz des Art. 37 Abs. 3 erster Satz OG abzuweichen, wonach Urteile des Bundesgerichts in der Sprache des angefochtenen Entscheides verfasst werden. Der Beschwerdeführer tut nicht dar, dass er ausserstande wäre, ein in deutscher Sprache verfasstes Urteil zu verstehen. Für den Schriftverkehr mit den kantonalen Behörden bestehen andere Regeln als für jenen mit den Bundesbehörden. Darauf ist weiter unten (E. 4) zurückzukommen.</w:t>
      </w:r>
    </w:p>
    <w:p>
      <w:r>
        <w:rPr>
          <w:b/>
        </w:rPr>
        <w:t>E. 3</w:t>
      </w:r>
    </w:p>
    <w:p>
      <w:r>
        <w:t>Mit der Beschwerde gemäss Art. 19 SchKG kann die Verletzung von Bundesrecht oder von völkerrechtlichen Verträgen des Bundes gerügt werden. a) Die Allgemeine Erklärung der Menschenrechte (Déclaration universelle des droits de l'homme; von der Generalversammlung der Vereinten Nationen durch Resolution 217 A [III] vom 10. Dezember 1948 angenommen; siehe BBl 1982 II 791) ist kein von der Schweiz abgeschlossener völkerrechtlicher Vertrag, dessen Verletzung - wie es der Beschwerdeführer tut - mit Beschwerde bei der Schuldbetreibungs- und Konkurskammer des Bundesgerichts gerügt werden könnte. b) Die Konvention zum Schutze der Menschenrechte und Grundfreiheiten (EMRK; SR 0.101) gilt als Verfassungs- und nicht als Staatsvertragsrecht ( BGE 101 Ia 67 ). Deren Verletzung kann deshalb nicht mit der Beschwerde gemäss Art. 19 SchKG , sondern nur mit staatsrechtlicher Beschwerde geltend gemacht werden (Art. 43 Abs. 1 in Verbindung mit Art. 81 OG ; Pfleghard, in: Geiser/Münch, Prozessieren vor Bundesgericht, Rz. 5.56). c) Der Internationale Pakt über bürgerliche und politische Rechte (Pacte international relatif aux droits civils et politiques; SR 0.103.2) ist von der Bundesversammlung am 13. Dezember 1991 genehmigt worden und für die Schweiz am 18. September 1992 in Kraft getreten. Dessen Verletzung kann grundsätzlich mit der Beschwerde gemäss Art. 19 SchKG gerügt werden. BGE 124 III 205 S. 207</w:t>
      </w:r>
    </w:p>
    <w:p>
      <w:r>
        <w:rPr>
          <w:b/>
        </w:rPr>
        <w:t>E. 4</w:t>
      </w:r>
    </w:p>
    <w:p>
      <w:r>
        <w:t>Art. 14 des Internationalen Paktes über bürgerliche und politische Rechte, den der Beschwerdeführer verletzt sieht, setzt Grundsätze fest, um ein faires Straf- und Zivilverfahren zu gewährleisten. Indessen kann daraus kein Recht auf Anwendung einer anderen als der Amtssprache im Verkehr mit den Behörden abgeleitet werden in dem Sinne, dass die genannte Bestimmung dem das Sprachenrecht der Schweiz beherrschenden Territorialitätsprinzip und dem kantonalen Prozessrecht vorginge (vgl. BGE 122 I 236 E. 2c). Amtssprache im Kanton Solothurn, dessen Aufsichtsbehörde über Schuldbetreibung und Konkurs den angefochtenen Entscheid gefällt hat, ist die deutsche Sprache. Ohne eine staatsvertragliche Bestimmung zu verletzen, konnte es die kantonale Aufsichtsbehörde daher ablehnen, auf die ihr in französischer Sprache eingereichte Beschwerde einzutreten - dies umso mehr, als sie dem Beschwerdeführer mit Verfügung vom 4. März 1998 Nachfrist zur Einreichung einer Rechtsschrift in deutscher Sprache eingeräumt hatte. Der Beschwerdeführer machte von der Nachfrist keinen Gebrauch, sondern liess der kantonalen Aufsichtsbehörde am 12. März 1998 wiederum eine Eingabe in französischer Sprache zukommen. Die Rüge der Verletzung des völkerrechtlichen Vertrages ist unbegründet, weshalb die Beschwerde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